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890" w:rsidRPr="003543DF" w:rsidRDefault="00032890" w:rsidP="00032890">
      <w:pPr>
        <w:pStyle w:val="Paragraphedeliste"/>
        <w:ind w:hanging="360"/>
        <w:rPr>
          <w:rFonts w:ascii="Century Gothic" w:hAnsi="Century Gothic"/>
          <w:color w:val="000000"/>
          <w:sz w:val="18"/>
          <w:szCs w:val="18"/>
          <w:u w:val="single"/>
          <w:lang w:val="fr-FR"/>
        </w:rPr>
      </w:pPr>
      <w:bookmarkStart w:id="0" w:name="_GoBack"/>
      <w:bookmarkEnd w:id="0"/>
      <w:r w:rsidRPr="003543DF">
        <w:rPr>
          <w:rFonts w:ascii="Century Gothic" w:hAnsi="Century Gothic"/>
          <w:color w:val="000000"/>
          <w:sz w:val="18"/>
          <w:szCs w:val="18"/>
          <w:u w:val="single"/>
          <w:lang w:val="fr-FR"/>
        </w:rPr>
        <w:t xml:space="preserve">HR/CS - </w:t>
      </w:r>
      <w:r w:rsidR="003543DF" w:rsidRPr="003543DF">
        <w:rPr>
          <w:rFonts w:ascii="Century Gothic" w:hAnsi="Century Gothic"/>
          <w:color w:val="000000"/>
          <w:sz w:val="18"/>
          <w:szCs w:val="18"/>
          <w:u w:val="single"/>
          <w:lang w:val="fr-FR"/>
        </w:rPr>
        <w:t>É</w:t>
      </w:r>
      <w:r w:rsidR="003543DF" w:rsidRPr="003543DF">
        <w:rPr>
          <w:rFonts w:ascii="Century Gothic" w:hAnsi="Century Gothic"/>
          <w:color w:val="000000"/>
          <w:sz w:val="18"/>
          <w:szCs w:val="18"/>
          <w:u w:val="single"/>
          <w:lang w:val="fr-FR"/>
        </w:rPr>
        <w:t>valuation réintégration/Evaluatie re-integratie</w:t>
      </w:r>
      <w:r w:rsidRPr="003543DF">
        <w:rPr>
          <w:rFonts w:ascii="Century Gothic" w:hAnsi="Century Gothic"/>
          <w:color w:val="000000"/>
          <w:sz w:val="18"/>
          <w:szCs w:val="18"/>
          <w:u w:val="single"/>
          <w:lang w:val="fr-FR"/>
        </w:rPr>
        <w:t xml:space="preserve"> - Input 02/02/2018</w:t>
      </w:r>
    </w:p>
    <w:p w:rsidR="00A8044C" w:rsidRPr="003543DF" w:rsidRDefault="00A8044C" w:rsidP="00032890">
      <w:pPr>
        <w:pStyle w:val="Paragraphedeliste"/>
        <w:ind w:hanging="360"/>
        <w:rPr>
          <w:rFonts w:ascii="Century Gothic" w:hAnsi="Century Gothic"/>
          <w:color w:val="000000"/>
          <w:sz w:val="18"/>
          <w:szCs w:val="18"/>
          <w:u w:val="single"/>
          <w:lang w:val="fr-FR"/>
        </w:rPr>
      </w:pPr>
    </w:p>
    <w:p w:rsidR="00032890" w:rsidRPr="003543DF" w:rsidRDefault="00032890" w:rsidP="00032890">
      <w:pPr>
        <w:pStyle w:val="Paragraphedeliste"/>
        <w:ind w:hanging="360"/>
        <w:rPr>
          <w:rFonts w:ascii="Century Gothic" w:hAnsi="Century Gothic"/>
          <w:color w:val="000000"/>
          <w:sz w:val="18"/>
          <w:szCs w:val="18"/>
          <w:lang w:val="fr-FR"/>
        </w:rPr>
      </w:pPr>
    </w:p>
    <w:p w:rsidR="00032890" w:rsidRPr="003543DF" w:rsidRDefault="00032890" w:rsidP="00B91AB5">
      <w:pPr>
        <w:pStyle w:val="Paragraphedeliste"/>
        <w:ind w:hanging="360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  <w:r w:rsidRPr="003543DF">
        <w:rPr>
          <w:rFonts w:ascii="Century Gothic" w:hAnsi="Century Gothic"/>
          <w:color w:val="000000"/>
          <w:sz w:val="18"/>
          <w:szCs w:val="18"/>
          <w:lang w:val="fr-FR"/>
        </w:rPr>
        <w:t>1.</w:t>
      </w:r>
      <w:r w:rsidR="00B91AB5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    </w:t>
      </w:r>
      <w:r w:rsidR="0042597B" w:rsidRPr="003543DF">
        <w:rPr>
          <w:rFonts w:ascii="Century Gothic" w:hAnsi="Century Gothic"/>
          <w:color w:val="000000"/>
          <w:sz w:val="18"/>
          <w:szCs w:val="18"/>
          <w:lang w:val="fr-FR"/>
        </w:rPr>
        <w:t>L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e 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c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onseiller en prévention-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m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édecin du travail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consacre de plus en plus de temps à la réintégration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de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travailleur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s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disposant d’une capacité 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 xml:space="preserve">de travail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limitée temporaire ou définitive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.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Cette 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évolution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est perçue comme un enrichissement par le 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c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onseiller en prévention-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m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édecin du travail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,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parce qu’il retire une plus grande satisfaction personnelle de son travail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, mais aussi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parce qu’il contribue plus efficacement à amélior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er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la sociét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>é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>.</w:t>
      </w:r>
    </w:p>
    <w:p w:rsidR="00032890" w:rsidRPr="003543DF" w:rsidRDefault="00032890" w:rsidP="00B91AB5">
      <w:pPr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> </w:t>
      </w:r>
    </w:p>
    <w:p w:rsidR="00032890" w:rsidRPr="003543DF" w:rsidRDefault="00032890" w:rsidP="00B91AB5">
      <w:pPr>
        <w:pStyle w:val="Paragraphedeliste"/>
        <w:ind w:hanging="360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  <w:r w:rsidRPr="003543DF">
        <w:rPr>
          <w:rFonts w:ascii="Century Gothic" w:hAnsi="Century Gothic"/>
          <w:color w:val="000000"/>
          <w:sz w:val="18"/>
          <w:szCs w:val="18"/>
          <w:lang w:val="fr-FR"/>
        </w:rPr>
        <w:t>2.</w:t>
      </w:r>
      <w:r w:rsidR="00B91AB5" w:rsidRPr="003543DF">
        <w:rPr>
          <w:rFonts w:ascii="Century Gothic" w:hAnsi="Century Gothic"/>
          <w:color w:val="000000"/>
          <w:sz w:val="18"/>
          <w:szCs w:val="18"/>
          <w:lang w:val="fr-FR"/>
        </w:rPr>
        <w:t>    </w:t>
      </w:r>
      <w:r w:rsidR="002D43DC">
        <w:rPr>
          <w:rFonts w:ascii="Century Gothic" w:hAnsi="Century Gothic"/>
          <w:color w:val="000000"/>
          <w:sz w:val="18"/>
          <w:szCs w:val="18"/>
          <w:lang w:val="fr-FR"/>
        </w:rPr>
        <w:t>Une lourdeur est ressentie dans l</w:t>
      </w:r>
      <w:r w:rsidR="003A0CCE" w:rsidRPr="003543DF">
        <w:rPr>
          <w:rFonts w:ascii="Century Gothic" w:hAnsi="Century Gothic"/>
          <w:color w:val="000000"/>
          <w:sz w:val="18"/>
          <w:szCs w:val="18"/>
          <w:lang w:val="fr-FR"/>
        </w:rPr>
        <w:t>a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3543DF" w:rsidRPr="003543DF">
        <w:rPr>
          <w:rFonts w:ascii="Century Gothic" w:hAnsi="Century Gothic"/>
          <w:color w:val="262626"/>
          <w:sz w:val="18"/>
          <w:szCs w:val="18"/>
          <w:lang w:val="fr-FR"/>
        </w:rPr>
        <w:t>procédure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3A0CCE" w:rsidRPr="003543DF">
        <w:rPr>
          <w:rFonts w:ascii="Century Gothic" w:hAnsi="Century Gothic"/>
          <w:color w:val="262626"/>
          <w:sz w:val="18"/>
          <w:szCs w:val="18"/>
          <w:lang w:val="fr-FR"/>
        </w:rPr>
        <w:t>du nouveau trajet de réintégration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. 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La plupart des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réintégration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s 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 xml:space="preserve">fructueuses 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de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travailleur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s 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>à capacité de travail limitée se font en dehors de cette procédure formelle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>.</w:t>
      </w:r>
      <w:r w:rsidR="004B44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La « visite informelle préalable à la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reprise du travail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 » a prouvé au fil des ans qu’elle menait souvent à une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reprise du travail</w:t>
      </w:r>
      <w:r w:rsidR="00B91AB5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>bien préparée</w:t>
      </w:r>
      <w:r w:rsidR="00093365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. 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>Et c’est toujours le cas aujourd’hui</w:t>
      </w:r>
      <w:r w:rsidR="00093365" w:rsidRPr="003543DF">
        <w:rPr>
          <w:rFonts w:ascii="Century Gothic" w:hAnsi="Century Gothic"/>
          <w:color w:val="262626"/>
          <w:sz w:val="18"/>
          <w:szCs w:val="18"/>
          <w:lang w:val="fr-FR"/>
        </w:rPr>
        <w:t>.</w:t>
      </w:r>
    </w:p>
    <w:p w:rsidR="00032890" w:rsidRPr="003543DF" w:rsidRDefault="00032890" w:rsidP="00B91AB5">
      <w:pPr>
        <w:pStyle w:val="Paragraphedeliste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> </w:t>
      </w:r>
    </w:p>
    <w:p w:rsidR="00032890" w:rsidRPr="003543DF" w:rsidRDefault="00032890" w:rsidP="00B91AB5">
      <w:pPr>
        <w:pStyle w:val="Paragraphedeliste"/>
        <w:ind w:hanging="360"/>
        <w:jc w:val="both"/>
        <w:rPr>
          <w:rFonts w:ascii="Century Gothic" w:hAnsi="Century Gothic"/>
          <w:color w:val="262626"/>
          <w:sz w:val="18"/>
          <w:szCs w:val="18"/>
          <w:lang w:val="fr-FR"/>
        </w:rPr>
      </w:pPr>
      <w:r w:rsidRPr="003543DF">
        <w:rPr>
          <w:rFonts w:ascii="Century Gothic" w:hAnsi="Century Gothic"/>
          <w:color w:val="000000"/>
          <w:sz w:val="18"/>
          <w:szCs w:val="18"/>
          <w:lang w:val="fr-FR"/>
        </w:rPr>
        <w:t>3.</w:t>
      </w:r>
      <w:r w:rsidR="00B91AB5" w:rsidRPr="003543DF">
        <w:rPr>
          <w:rFonts w:ascii="Century Gothic" w:hAnsi="Century Gothic"/>
          <w:color w:val="000000"/>
          <w:sz w:val="18"/>
          <w:szCs w:val="18"/>
          <w:lang w:val="fr-FR"/>
        </w:rPr>
        <w:t>   </w:t>
      </w:r>
      <w:r w:rsidR="00AF00AD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 La longueur des délais maxima 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avant la finalisation d’un plan de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réintégration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fait perdre au 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c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onseiller en prévention-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m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édecin du travail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>toute vue d’ensemble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. </w:t>
      </w:r>
      <w:r w:rsidR="00C9054B">
        <w:rPr>
          <w:rFonts w:ascii="Century Gothic" w:hAnsi="Century Gothic"/>
          <w:color w:val="262626"/>
          <w:sz w:val="18"/>
          <w:szCs w:val="18"/>
          <w:lang w:val="fr-FR"/>
        </w:rPr>
        <w:t>É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>valu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er l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es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reprise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>s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du travail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aujourd’hui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, 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à peine 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>12 m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ois après le lancement des premiers </w:t>
      </w:r>
      <w:r w:rsidR="003A0CCE" w:rsidRPr="003543DF">
        <w:rPr>
          <w:rFonts w:ascii="Century Gothic" w:hAnsi="Century Gothic"/>
          <w:color w:val="262626"/>
          <w:sz w:val="18"/>
          <w:szCs w:val="18"/>
          <w:lang w:val="fr-FR"/>
        </w:rPr>
        <w:t>trajet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>s</w:t>
      </w:r>
      <w:r w:rsidR="003A0CCE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de réintégration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, </w:t>
      </w:r>
      <w:r w:rsidR="00AF00AD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aura encore, par définition, un caractère </w:t>
      </w:r>
      <w:r w:rsidR="003543DF" w:rsidRPr="003543DF">
        <w:rPr>
          <w:rFonts w:ascii="Century Gothic" w:hAnsi="Century Gothic"/>
          <w:color w:val="262626"/>
          <w:sz w:val="18"/>
          <w:szCs w:val="18"/>
          <w:lang w:val="fr-FR"/>
        </w:rPr>
        <w:t>incomplet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>.</w:t>
      </w:r>
    </w:p>
    <w:p w:rsidR="00DE34E7" w:rsidRPr="003543DF" w:rsidRDefault="00DE34E7" w:rsidP="00B91AB5">
      <w:pPr>
        <w:pStyle w:val="Paragraphedeliste"/>
        <w:ind w:hanging="360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  <w:r w:rsidRPr="003543DF">
        <w:rPr>
          <w:rFonts w:ascii="Century Gothic" w:hAnsi="Century Gothic"/>
          <w:color w:val="000000"/>
          <w:sz w:val="18"/>
          <w:szCs w:val="18"/>
          <w:lang w:val="fr-FR"/>
        </w:rPr>
        <w:tab/>
      </w:r>
      <w:r w:rsidR="00AF00AD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Dans le cas d’une incapacité temporaire avec </w:t>
      </w:r>
      <w:r w:rsidR="0042597B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reprise </w:t>
      </w:r>
      <w:r w:rsidR="00AF00AD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partielle </w:t>
      </w:r>
      <w:r w:rsidR="0042597B" w:rsidRPr="003543DF">
        <w:rPr>
          <w:rFonts w:ascii="Century Gothic" w:hAnsi="Century Gothic"/>
          <w:color w:val="000000"/>
          <w:sz w:val="18"/>
          <w:szCs w:val="18"/>
          <w:lang w:val="fr-FR"/>
        </w:rPr>
        <w:t>du travail</w:t>
      </w:r>
      <w:r w:rsidR="00AF00AD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, la nécessité d’un avis positif du médecin-conseil </w:t>
      </w:r>
      <w:r w:rsidR="006577C6" w:rsidRPr="003543DF">
        <w:rPr>
          <w:rFonts w:ascii="Century Gothic" w:hAnsi="Century Gothic"/>
          <w:color w:val="000000"/>
          <w:sz w:val="18"/>
          <w:szCs w:val="18"/>
          <w:lang w:val="fr-FR"/>
        </w:rPr>
        <w:t>(</w:t>
      </w:r>
      <w:r w:rsidR="00AF00AD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dans les </w:t>
      </w:r>
      <w:r w:rsidR="0048479A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21 </w:t>
      </w:r>
      <w:r w:rsidR="00AF00AD" w:rsidRPr="003543DF">
        <w:rPr>
          <w:rFonts w:ascii="Century Gothic" w:hAnsi="Century Gothic"/>
          <w:color w:val="000000"/>
          <w:sz w:val="18"/>
          <w:szCs w:val="18"/>
          <w:lang w:val="fr-FR"/>
        </w:rPr>
        <w:t>jours</w:t>
      </w:r>
      <w:r w:rsidR="0048479A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) </w:t>
      </w:r>
      <w:r w:rsidR="00AF00AD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constitue un obstacle supplémentaire dans le </w:t>
      </w:r>
      <w:r w:rsidR="003A0CCE" w:rsidRPr="003543DF">
        <w:rPr>
          <w:rFonts w:ascii="Century Gothic" w:hAnsi="Century Gothic"/>
          <w:color w:val="000000"/>
          <w:sz w:val="18"/>
          <w:szCs w:val="18"/>
          <w:lang w:val="fr-FR"/>
        </w:rPr>
        <w:t>trajet de réintégration</w:t>
      </w:r>
      <w:r w:rsidR="0048479A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. </w:t>
      </w:r>
    </w:p>
    <w:p w:rsidR="00032890" w:rsidRPr="003543DF" w:rsidRDefault="00032890" w:rsidP="00B91AB5">
      <w:pPr>
        <w:pStyle w:val="Paragraphedeliste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> </w:t>
      </w:r>
    </w:p>
    <w:p w:rsidR="00032890" w:rsidRPr="003543DF" w:rsidRDefault="00032890" w:rsidP="00B91AB5">
      <w:pPr>
        <w:pStyle w:val="Paragraphedeliste"/>
        <w:ind w:hanging="360"/>
        <w:jc w:val="both"/>
        <w:rPr>
          <w:rFonts w:ascii="Century Gothic" w:hAnsi="Century Gothic"/>
          <w:color w:val="262626"/>
          <w:sz w:val="18"/>
          <w:szCs w:val="18"/>
          <w:lang w:val="fr-FR"/>
        </w:rPr>
      </w:pPr>
      <w:r w:rsidRPr="003543DF">
        <w:rPr>
          <w:rFonts w:ascii="Century Gothic" w:hAnsi="Century Gothic"/>
          <w:color w:val="000000"/>
          <w:sz w:val="18"/>
          <w:szCs w:val="18"/>
          <w:lang w:val="fr-FR"/>
        </w:rPr>
        <w:t>4.</w:t>
      </w:r>
      <w:r w:rsidR="00B91AB5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    </w:t>
      </w:r>
      <w:r w:rsidR="00315C45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Les demandes </w:t>
      </w:r>
      <w:r w:rsidR="00315C45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de démarrer un </w:t>
      </w:r>
      <w:r w:rsidR="003A0CCE" w:rsidRPr="003543DF">
        <w:rPr>
          <w:rFonts w:ascii="Century Gothic" w:hAnsi="Century Gothic"/>
          <w:color w:val="262626"/>
          <w:sz w:val="18"/>
          <w:szCs w:val="18"/>
          <w:lang w:val="fr-FR"/>
        </w:rPr>
        <w:t>trajet de réintégration</w:t>
      </w:r>
      <w:r w:rsidR="002D43DC" w:rsidRPr="002D43DC">
        <w:rPr>
          <w:rFonts w:ascii="Century Gothic" w:hAnsi="Century Gothic"/>
          <w:color w:val="000000"/>
          <w:sz w:val="18"/>
          <w:szCs w:val="18"/>
          <w:lang w:val="fr-FR"/>
        </w:rPr>
        <w:t xml:space="preserve"> </w:t>
      </w:r>
      <w:r w:rsidR="00C9054B">
        <w:rPr>
          <w:rFonts w:ascii="Century Gothic" w:hAnsi="Century Gothic"/>
          <w:color w:val="000000"/>
          <w:sz w:val="18"/>
          <w:szCs w:val="18"/>
          <w:lang w:val="fr-FR"/>
        </w:rPr>
        <w:t>– </w:t>
      </w:r>
      <w:r w:rsidR="002D43DC" w:rsidRPr="002D43DC">
        <w:rPr>
          <w:rFonts w:ascii="Century Gothic" w:hAnsi="Century Gothic"/>
          <w:color w:val="262626"/>
          <w:sz w:val="18"/>
          <w:szCs w:val="18"/>
          <w:lang w:val="fr-FR"/>
        </w:rPr>
        <w:t>qu’elles émanent des travailleurs ou des employeurs</w:t>
      </w:r>
      <w:r w:rsidR="00C9054B">
        <w:rPr>
          <w:rFonts w:ascii="Century Gothic" w:hAnsi="Century Gothic"/>
          <w:color w:val="262626"/>
          <w:sz w:val="18"/>
          <w:szCs w:val="18"/>
          <w:lang w:val="fr-FR"/>
        </w:rPr>
        <w:t> –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315C45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sont souvent trop peu axées sur une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reprise 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effective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du travail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. 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Si l’une des parties n’a pas la motivation de parvenir à une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reprise du travail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>, les chances de succès de cette lourde procédure sont minimes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>.  E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>t les efforts importants déployés par les autres personnes concernées restent alors sans effet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. 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>Il faudrait davantage mettre l’accent sur l’intérêt et la plus-value que représente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,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à titre personnel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>,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une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réintégration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>fructueuse pour l’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employeur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et pour le </w:t>
      </w:r>
      <w:r w:rsidR="0042597B" w:rsidRPr="003543DF">
        <w:rPr>
          <w:rFonts w:ascii="Century Gothic" w:hAnsi="Century Gothic"/>
          <w:color w:val="262626"/>
          <w:sz w:val="18"/>
          <w:szCs w:val="18"/>
          <w:lang w:val="fr-FR"/>
        </w:rPr>
        <w:t>travailleur</w:t>
      </w:r>
      <w:r w:rsidR="00A8044C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(inc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>itants</w:t>
      </w:r>
      <w:r w:rsidR="00A8044C" w:rsidRPr="003543DF">
        <w:rPr>
          <w:rFonts w:ascii="Century Gothic" w:hAnsi="Century Gothic"/>
          <w:color w:val="262626"/>
          <w:sz w:val="18"/>
          <w:szCs w:val="18"/>
          <w:lang w:val="fr-FR"/>
        </w:rPr>
        <w:t>)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. 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 xml:space="preserve">Nous devons éviter 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qu’un travailleur ou un employeur n’entame un </w:t>
      </w:r>
      <w:r w:rsidR="003A0CCE" w:rsidRPr="003543DF">
        <w:rPr>
          <w:rFonts w:ascii="Century Gothic" w:hAnsi="Century Gothic"/>
          <w:color w:val="262626"/>
          <w:sz w:val="18"/>
          <w:szCs w:val="18"/>
          <w:lang w:val="fr-FR"/>
        </w:rPr>
        <w:t>trajet de réintégration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pro forma 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>dans l</w:t>
      </w:r>
      <w:r w:rsidR="002D43DC">
        <w:rPr>
          <w:rFonts w:ascii="Century Gothic" w:hAnsi="Century Gothic"/>
          <w:color w:val="262626"/>
          <w:sz w:val="18"/>
          <w:szCs w:val="18"/>
          <w:lang w:val="fr-FR"/>
        </w:rPr>
        <w:t xml:space="preserve">a seule </w:t>
      </w:r>
      <w:r w:rsidR="00110A56" w:rsidRPr="003543DF">
        <w:rPr>
          <w:rFonts w:ascii="Century Gothic" w:hAnsi="Century Gothic"/>
          <w:color w:val="262626"/>
          <w:sz w:val="18"/>
          <w:szCs w:val="18"/>
          <w:lang w:val="fr-FR"/>
        </w:rPr>
        <w:t>intention de mettre fin au contrat de travail de manière avantageuse</w:t>
      </w: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>.</w:t>
      </w:r>
    </w:p>
    <w:p w:rsidR="00B91AB5" w:rsidRPr="003543DF" w:rsidRDefault="00B91AB5" w:rsidP="00B91AB5">
      <w:pPr>
        <w:pStyle w:val="Paragraphedeliste"/>
        <w:ind w:hanging="360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</w:p>
    <w:p w:rsidR="00B91AB5" w:rsidRPr="003543DF" w:rsidRDefault="00B91AB5" w:rsidP="00B91AB5">
      <w:pPr>
        <w:pStyle w:val="Paragraphedeliste"/>
        <w:ind w:hanging="360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>5.</w:t>
      </w: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ab/>
      </w:r>
      <w:r w:rsidR="00110A56" w:rsidRPr="003543DF">
        <w:rPr>
          <w:rFonts w:ascii="Century Gothic" w:hAnsi="Century Gothic"/>
          <w:color w:val="212121"/>
          <w:sz w:val="18"/>
          <w:szCs w:val="18"/>
          <w:lang w:val="fr-FR"/>
        </w:rPr>
        <w:t>La pression qu</w:t>
      </w:r>
      <w:r w:rsidR="002D43DC">
        <w:rPr>
          <w:rFonts w:ascii="Century Gothic" w:hAnsi="Century Gothic"/>
          <w:color w:val="212121"/>
          <w:sz w:val="18"/>
          <w:szCs w:val="18"/>
          <w:lang w:val="fr-FR"/>
        </w:rPr>
        <w:t xml:space="preserve">e </w:t>
      </w:r>
      <w:r w:rsidR="002D43DC" w:rsidRPr="002D43DC">
        <w:rPr>
          <w:rFonts w:ascii="Century Gothic" w:hAnsi="Century Gothic"/>
          <w:color w:val="212121"/>
          <w:sz w:val="18"/>
          <w:szCs w:val="18"/>
          <w:lang w:val="fr-FR"/>
        </w:rPr>
        <w:t xml:space="preserve">l’employeur </w:t>
      </w:r>
      <w:r w:rsidR="002D43DC">
        <w:rPr>
          <w:rFonts w:ascii="Century Gothic" w:hAnsi="Century Gothic"/>
          <w:color w:val="212121"/>
          <w:sz w:val="18"/>
          <w:szCs w:val="18"/>
          <w:lang w:val="fr-FR"/>
        </w:rPr>
        <w:t xml:space="preserve">peut exercer </w:t>
      </w:r>
      <w:r w:rsidR="00110A5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sur le </w:t>
      </w:r>
      <w:r w:rsidR="002D43DC">
        <w:rPr>
          <w:rFonts w:ascii="Century Gothic" w:hAnsi="Century Gothic"/>
          <w:color w:val="212121"/>
          <w:sz w:val="18"/>
          <w:szCs w:val="18"/>
          <w:lang w:val="fr-FR"/>
        </w:rPr>
        <w:t>c</w:t>
      </w:r>
      <w:r w:rsidR="0042597B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onseiller en prévention-</w:t>
      </w:r>
      <w:r w:rsidR="002D43DC">
        <w:rPr>
          <w:rFonts w:ascii="Century Gothic" w:hAnsi="Century Gothic" w:cs="Arial"/>
          <w:color w:val="000000"/>
          <w:sz w:val="18"/>
          <w:szCs w:val="18"/>
          <w:lang w:val="fr-FR"/>
        </w:rPr>
        <w:t>m</w:t>
      </w:r>
      <w:r w:rsidR="0042597B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édecin du travail</w:t>
      </w:r>
      <w:r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 </w:t>
      </w:r>
      <w:r w:rsidR="00110A56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pour qu’il déclare un </w:t>
      </w:r>
      <w:r w:rsidR="0042597B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travailleur</w:t>
      </w:r>
      <w:r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 </w:t>
      </w:r>
      <w:r w:rsidR="00110A56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en incapacité définitive</w:t>
      </w:r>
      <w:r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 </w:t>
      </w:r>
      <w:r w:rsidR="00110A56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disparaîtrait totalement si l’</w:t>
      </w:r>
      <w:r w:rsidR="0042597B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employeur</w:t>
      </w:r>
      <w:r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 </w:t>
      </w:r>
      <w:r w:rsidR="00110A56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devait tout de même payer le </w:t>
      </w:r>
      <w:r w:rsidR="0042597B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travailleur</w:t>
      </w:r>
      <w:r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, </w:t>
      </w:r>
      <w:r w:rsidR="00110A56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comme </w:t>
      </w:r>
      <w:r w:rsidR="002D43DC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c’est le cas </w:t>
      </w:r>
      <w:r w:rsidR="00110A56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pour tout autre motif de licenciement</w:t>
      </w:r>
      <w:r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. </w:t>
      </w:r>
      <w:r w:rsidR="00110A56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Et cela permettrait</w:t>
      </w:r>
      <w:r w:rsidR="002D43DC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 </w:t>
      </w:r>
      <w:r w:rsidR="00110A56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une concertation sereine entre toutes les parties</w:t>
      </w:r>
      <w:r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.</w:t>
      </w:r>
    </w:p>
    <w:p w:rsidR="00032890" w:rsidRPr="003543DF" w:rsidRDefault="00032890" w:rsidP="00B91AB5">
      <w:pPr>
        <w:pStyle w:val="Paragraphedeliste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  <w:r w:rsidRPr="003543DF">
        <w:rPr>
          <w:rFonts w:ascii="Century Gothic" w:hAnsi="Century Gothic"/>
          <w:color w:val="262626"/>
          <w:sz w:val="18"/>
          <w:szCs w:val="18"/>
          <w:lang w:val="fr-FR"/>
        </w:rPr>
        <w:t> </w:t>
      </w:r>
    </w:p>
    <w:p w:rsidR="00032890" w:rsidRPr="003543DF" w:rsidRDefault="00093365" w:rsidP="00B91AB5">
      <w:pPr>
        <w:pStyle w:val="Paragraphedeliste"/>
        <w:ind w:hanging="360"/>
        <w:jc w:val="both"/>
        <w:rPr>
          <w:rFonts w:ascii="Century Gothic" w:hAnsi="Century Gothic"/>
          <w:color w:val="262626"/>
          <w:sz w:val="18"/>
          <w:szCs w:val="18"/>
          <w:lang w:val="fr-FR"/>
        </w:rPr>
      </w:pPr>
      <w:r w:rsidRPr="003543DF">
        <w:rPr>
          <w:rFonts w:ascii="Century Gothic" w:hAnsi="Century Gothic"/>
          <w:color w:val="000000"/>
          <w:sz w:val="18"/>
          <w:szCs w:val="18"/>
          <w:lang w:val="fr-FR"/>
        </w:rPr>
        <w:t>6</w:t>
      </w:r>
      <w:r w:rsidR="00032890" w:rsidRPr="003543DF">
        <w:rPr>
          <w:rFonts w:ascii="Century Gothic" w:hAnsi="Century Gothic"/>
          <w:color w:val="000000"/>
          <w:sz w:val="18"/>
          <w:szCs w:val="18"/>
          <w:lang w:val="fr-FR"/>
        </w:rPr>
        <w:t>.</w:t>
      </w:r>
      <w:r w:rsidR="00B91AB5" w:rsidRPr="003543DF">
        <w:rPr>
          <w:rFonts w:ascii="Century Gothic" w:hAnsi="Century Gothic"/>
          <w:color w:val="000000"/>
          <w:sz w:val="18"/>
          <w:szCs w:val="18"/>
          <w:lang w:val="fr-FR"/>
        </w:rPr>
        <w:t xml:space="preserve">    </w:t>
      </w:r>
      <w:r w:rsidR="00493EE6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Le </w:t>
      </w:r>
      <w:r w:rsidR="003A0CCE" w:rsidRPr="003543DF">
        <w:rPr>
          <w:rFonts w:ascii="Century Gothic" w:hAnsi="Century Gothic"/>
          <w:color w:val="262626"/>
          <w:sz w:val="18"/>
          <w:szCs w:val="18"/>
          <w:lang w:val="fr-FR"/>
        </w:rPr>
        <w:t>trajet de réintégration</w:t>
      </w:r>
      <w:r w:rsidR="00032890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</w:t>
      </w:r>
      <w:r w:rsidR="00493EE6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doit également </w:t>
      </w:r>
      <w:r w:rsidR="00D17FE4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se </w:t>
      </w:r>
      <w:r w:rsidR="00493EE6" w:rsidRPr="003543DF">
        <w:rPr>
          <w:rFonts w:ascii="Century Gothic" w:hAnsi="Century Gothic"/>
          <w:color w:val="262626"/>
          <w:sz w:val="18"/>
          <w:szCs w:val="18"/>
          <w:lang w:val="fr-FR"/>
        </w:rPr>
        <w:t>poursuiv</w:t>
      </w:r>
      <w:r w:rsidR="00D17FE4" w:rsidRPr="003543DF">
        <w:rPr>
          <w:rFonts w:ascii="Century Gothic" w:hAnsi="Century Gothic"/>
          <w:color w:val="262626"/>
          <w:sz w:val="18"/>
          <w:szCs w:val="18"/>
          <w:lang w:val="fr-FR"/>
        </w:rPr>
        <w:t>re</w:t>
      </w:r>
      <w:r w:rsidR="00493EE6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 après la rupture du contrat de travail</w:t>
      </w:r>
      <w:r w:rsidR="00032890" w:rsidRPr="003543DF">
        <w:rPr>
          <w:rFonts w:ascii="Century Gothic" w:hAnsi="Century Gothic"/>
          <w:color w:val="262626"/>
          <w:sz w:val="18"/>
          <w:szCs w:val="18"/>
          <w:lang w:val="fr-FR"/>
        </w:rPr>
        <w:t xml:space="preserve">. </w:t>
      </w:r>
      <w:r w:rsidR="00493EE6" w:rsidRPr="003543DF">
        <w:rPr>
          <w:rFonts w:ascii="Century Gothic" w:hAnsi="Century Gothic"/>
          <w:color w:val="262626"/>
          <w:sz w:val="18"/>
          <w:szCs w:val="18"/>
          <w:lang w:val="fr-FR"/>
        </w:rPr>
        <w:t>L</w:t>
      </w:r>
      <w:r w:rsidR="00B91AB5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e </w:t>
      </w:r>
      <w:r w:rsidR="00C9054B">
        <w:rPr>
          <w:rFonts w:ascii="Century Gothic" w:hAnsi="Century Gothic" w:cs="Arial"/>
          <w:color w:val="000000"/>
          <w:sz w:val="18"/>
          <w:szCs w:val="18"/>
          <w:lang w:val="fr-FR"/>
        </w:rPr>
        <w:t>c</w:t>
      </w:r>
      <w:r w:rsidR="0042597B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onseiller en prévention-</w:t>
      </w:r>
      <w:r w:rsidR="00C9054B">
        <w:rPr>
          <w:rFonts w:ascii="Century Gothic" w:hAnsi="Century Gothic" w:cs="Arial"/>
          <w:color w:val="000000"/>
          <w:sz w:val="18"/>
          <w:szCs w:val="18"/>
          <w:lang w:val="fr-FR"/>
        </w:rPr>
        <w:t>m</w:t>
      </w:r>
      <w:r w:rsidR="0042597B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édecin du travail</w:t>
      </w:r>
      <w:r w:rsidR="00B91AB5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 </w:t>
      </w:r>
      <w:r w:rsidR="00493EE6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devrait </w:t>
      </w:r>
      <w:r w:rsidR="00D17FE4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avoir un rôle à </w:t>
      </w:r>
      <w:r w:rsidR="00493EE6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jouer </w:t>
      </w:r>
      <w:r w:rsidR="00D17FE4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dans la réorientation vers un autre travail du</w:t>
      </w:r>
      <w:r w:rsidR="00B91AB5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 </w:t>
      </w:r>
      <w:r w:rsidR="0042597B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travailleur</w:t>
      </w:r>
      <w:r w:rsidR="00B91AB5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 </w:t>
      </w:r>
      <w:r w:rsidR="00D17FE4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qui a été jugé inapte à travailler chez </w:t>
      </w:r>
      <w:r w:rsidR="00C9054B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son </w:t>
      </w:r>
      <w:r w:rsidR="00D17FE4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employeur actuel</w:t>
      </w:r>
      <w:r w:rsidR="00B91AB5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, </w:t>
      </w:r>
      <w:r w:rsidR="00D17FE4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par exemple en déterminant ses capacités résiduelles et en discutant de la question avec d’éventuels autres </w:t>
      </w:r>
      <w:r w:rsidR="0042597B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employeurs</w:t>
      </w:r>
      <w:r w:rsidR="00B91AB5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 o</w:t>
      </w:r>
      <w:r w:rsidR="00D17FE4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u</w:t>
      </w:r>
      <w:r w:rsidR="00B91AB5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 instan</w:t>
      </w:r>
      <w:r w:rsidR="00D17FE4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c</w:t>
      </w:r>
      <w:r w:rsidR="00B91AB5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es (</w:t>
      </w:r>
      <w:r w:rsidR="00D17FE4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 xml:space="preserve">ONEM, </w:t>
      </w:r>
      <w:r w:rsidR="00B91AB5" w:rsidRPr="003543DF">
        <w:rPr>
          <w:rFonts w:ascii="Century Gothic" w:hAnsi="Century Gothic" w:cs="Arial"/>
          <w:color w:val="000000"/>
          <w:sz w:val="18"/>
          <w:szCs w:val="18"/>
          <w:lang w:val="fr-FR"/>
        </w:rPr>
        <w:t>…).</w:t>
      </w:r>
    </w:p>
    <w:p w:rsidR="00032890" w:rsidRPr="003543DF" w:rsidRDefault="00032890" w:rsidP="00B91AB5">
      <w:pPr>
        <w:pStyle w:val="Paragraphedeliste"/>
        <w:ind w:hanging="360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</w:p>
    <w:p w:rsidR="00032890" w:rsidRPr="003543DF" w:rsidRDefault="00093365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>7</w:t>
      </w:r>
      <w:r w:rsidR="00032890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. </w:t>
      </w:r>
      <w:r w:rsidR="00E775EC" w:rsidRPr="003543DF">
        <w:rPr>
          <w:rFonts w:ascii="Century Gothic" w:hAnsi="Century Gothic"/>
          <w:color w:val="212121"/>
          <w:sz w:val="18"/>
          <w:szCs w:val="18"/>
          <w:lang w:val="fr-FR"/>
        </w:rPr>
        <w:tab/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Nous constatons qu’à l’heure actuelle, les </w:t>
      </w:r>
      <w:r w:rsidR="003A0CCE" w:rsidRPr="003543DF">
        <w:rPr>
          <w:rFonts w:ascii="Century Gothic" w:hAnsi="Century Gothic"/>
          <w:color w:val="212121"/>
          <w:sz w:val="18"/>
          <w:szCs w:val="18"/>
          <w:lang w:val="fr-FR"/>
        </w:rPr>
        <w:t>trajet</w:t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>s</w:t>
      </w:r>
      <w:r w:rsidR="003A0CCE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de réintégration</w:t>
      </w:r>
      <w:r w:rsidR="00E775EC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</w:t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sont encore beaucoup trop peu </w:t>
      </w:r>
      <w:r w:rsidR="00C9054B">
        <w:rPr>
          <w:rFonts w:ascii="Century Gothic" w:hAnsi="Century Gothic"/>
          <w:color w:val="212121"/>
          <w:sz w:val="18"/>
          <w:szCs w:val="18"/>
          <w:lang w:val="fr-FR"/>
        </w:rPr>
        <w:t xml:space="preserve">initiés </w:t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>par le secteur curatif ou par les médecins-conseils de la mutualité</w:t>
      </w:r>
      <w:r w:rsidR="00E775EC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. </w:t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>Une large campagne d’information peut combler ce retard</w:t>
      </w:r>
      <w:r w:rsidR="00E775EC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. </w:t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La création d’une plateforme de concertation entre médecins issus de différentes </w:t>
      </w:r>
      <w:r w:rsidR="00B3515A" w:rsidRPr="003543DF">
        <w:rPr>
          <w:rFonts w:ascii="Century Gothic" w:hAnsi="Century Gothic"/>
          <w:color w:val="212121"/>
          <w:sz w:val="18"/>
          <w:szCs w:val="18"/>
          <w:lang w:val="fr-FR"/>
        </w:rPr>
        <w:t>disciplines e</w:t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>t</w:t>
      </w:r>
      <w:r w:rsidR="00B3515A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</w:t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l’accès au dossier médical complet pour les médecins du travail faciliteront également </w:t>
      </w:r>
      <w:r w:rsidR="0042597B" w:rsidRPr="003543DF">
        <w:rPr>
          <w:rFonts w:ascii="Century Gothic" w:hAnsi="Century Gothic"/>
          <w:color w:val="212121"/>
          <w:sz w:val="18"/>
          <w:szCs w:val="18"/>
          <w:lang w:val="fr-FR"/>
        </w:rPr>
        <w:t>la réintégration</w:t>
      </w:r>
      <w:r w:rsidR="00B3515A" w:rsidRPr="003543DF">
        <w:rPr>
          <w:rFonts w:ascii="Century Gothic" w:hAnsi="Century Gothic"/>
          <w:color w:val="212121"/>
          <w:sz w:val="18"/>
          <w:szCs w:val="18"/>
          <w:lang w:val="fr-FR"/>
        </w:rPr>
        <w:t>.</w:t>
      </w:r>
    </w:p>
    <w:p w:rsidR="00AF09BA" w:rsidRPr="003543DF" w:rsidRDefault="00AF09BA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</w:p>
    <w:p w:rsidR="00AF09BA" w:rsidRPr="003543DF" w:rsidRDefault="00093365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>8</w:t>
      </w:r>
      <w:r w:rsidR="00AF09BA" w:rsidRPr="003543DF">
        <w:rPr>
          <w:rFonts w:ascii="Century Gothic" w:hAnsi="Century Gothic"/>
          <w:color w:val="212121"/>
          <w:sz w:val="18"/>
          <w:szCs w:val="18"/>
          <w:lang w:val="fr-FR"/>
        </w:rPr>
        <w:t>.</w:t>
      </w:r>
      <w:r w:rsidR="00AF09BA" w:rsidRPr="003543DF">
        <w:rPr>
          <w:rFonts w:ascii="Century Gothic" w:hAnsi="Century Gothic"/>
          <w:color w:val="212121"/>
          <w:sz w:val="18"/>
          <w:szCs w:val="18"/>
          <w:lang w:val="fr-FR"/>
        </w:rPr>
        <w:tab/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L’absence de financement </w:t>
      </w:r>
      <w:r w:rsidR="00C9054B">
        <w:rPr>
          <w:rFonts w:ascii="Century Gothic" w:hAnsi="Century Gothic"/>
          <w:color w:val="212121"/>
          <w:sz w:val="18"/>
          <w:szCs w:val="18"/>
          <w:lang w:val="fr-FR"/>
        </w:rPr>
        <w:t>c</w:t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>o</w:t>
      </w:r>
      <w:r w:rsidR="00C9054B">
        <w:rPr>
          <w:rFonts w:ascii="Century Gothic" w:hAnsi="Century Gothic"/>
          <w:color w:val="212121"/>
          <w:sz w:val="18"/>
          <w:szCs w:val="18"/>
          <w:lang w:val="fr-FR"/>
        </w:rPr>
        <w:t>nve</w:t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>nable pour cette nouvelle mission confiée au</w:t>
      </w:r>
      <w:r w:rsidR="00C9054B">
        <w:rPr>
          <w:rFonts w:ascii="Century Gothic" w:hAnsi="Century Gothic"/>
          <w:color w:val="212121"/>
          <w:sz w:val="18"/>
          <w:szCs w:val="18"/>
          <w:lang w:val="fr-FR"/>
        </w:rPr>
        <w:t>x</w:t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médecin</w:t>
      </w:r>
      <w:r w:rsidR="00C9054B">
        <w:rPr>
          <w:rFonts w:ascii="Century Gothic" w:hAnsi="Century Gothic"/>
          <w:color w:val="212121"/>
          <w:sz w:val="18"/>
          <w:szCs w:val="18"/>
          <w:lang w:val="fr-FR"/>
        </w:rPr>
        <w:t>s</w:t>
      </w:r>
      <w:r w:rsidR="00D17FE4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du travail et autres collaborateurs des Services pour la Prévention, la Protection et le Bien-être au Travail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>freine le développement qualitatif du processus de réintégration</w:t>
      </w:r>
      <w:r w:rsidR="00A8044C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. </w:t>
      </w:r>
    </w:p>
    <w:p w:rsidR="007406C2" w:rsidRPr="003543DF" w:rsidRDefault="007406C2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</w:p>
    <w:p w:rsidR="007406C2" w:rsidRPr="003543DF" w:rsidRDefault="007406C2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9.  </w:t>
      </w:r>
      <w:r w:rsidR="006577C6" w:rsidRPr="003543DF">
        <w:rPr>
          <w:rFonts w:ascii="Century Gothic" w:hAnsi="Century Gothic"/>
          <w:color w:val="212121"/>
          <w:sz w:val="18"/>
          <w:szCs w:val="18"/>
          <w:lang w:val="fr-FR"/>
        </w:rPr>
        <w:tab/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L’exclusion de l’incapacité de travail causée par des accidents de travail ou des maladies professionnelles </w:t>
      </w:r>
      <w:r w:rsid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complique le démarrage du </w:t>
      </w:r>
      <w:r w:rsidR="003A0CCE" w:rsidRPr="003543DF">
        <w:rPr>
          <w:rFonts w:ascii="Century Gothic" w:hAnsi="Century Gothic"/>
          <w:color w:val="212121"/>
          <w:sz w:val="18"/>
          <w:szCs w:val="18"/>
          <w:lang w:val="fr-FR"/>
        </w:rPr>
        <w:t>trajet de réintégration</w:t>
      </w:r>
      <w:r w:rsidR="0048479A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.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Il est souvent difficile d’établir si un accident de travail ou une maladie professionnelle est la cause effective de l’incapacité de travail </w:t>
      </w:r>
      <w:r w:rsidR="0048479A" w:rsidRPr="003543DF">
        <w:rPr>
          <w:rFonts w:ascii="Century Gothic" w:hAnsi="Century Gothic"/>
          <w:color w:val="212121"/>
          <w:sz w:val="18"/>
          <w:szCs w:val="18"/>
          <w:lang w:val="fr-FR"/>
        </w:rPr>
        <w:t>e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>t si un supposé accident de travail ou une supposée maladie professionnelle sera bien reconnu(e) comme tel(le)</w:t>
      </w:r>
      <w:r w:rsidR="00467550" w:rsidRPr="003543DF">
        <w:rPr>
          <w:rFonts w:ascii="Century Gothic" w:hAnsi="Century Gothic"/>
          <w:color w:val="212121"/>
          <w:sz w:val="18"/>
          <w:szCs w:val="18"/>
          <w:lang w:val="fr-FR"/>
        </w:rPr>
        <w:t>.</w:t>
      </w:r>
    </w:p>
    <w:p w:rsidR="006577C6" w:rsidRPr="003543DF" w:rsidRDefault="006577C6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</w:p>
    <w:p w:rsidR="006577C6" w:rsidRPr="003543DF" w:rsidRDefault="006577C6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highlight w:val="yellow"/>
          <w:lang w:val="fr-FR"/>
        </w:rPr>
      </w:pP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10. 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Il arrive fréquemment que le </w:t>
      </w:r>
      <w:r w:rsidR="0042597B" w:rsidRPr="003543DF">
        <w:rPr>
          <w:rFonts w:ascii="Century Gothic" w:hAnsi="Century Gothic"/>
          <w:color w:val="212121"/>
          <w:sz w:val="18"/>
          <w:szCs w:val="18"/>
          <w:lang w:val="fr-FR"/>
        </w:rPr>
        <w:t>travailleur</w:t>
      </w: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>pour lequel l’</w:t>
      </w:r>
      <w:r w:rsidR="0042597B" w:rsidRPr="003543DF">
        <w:rPr>
          <w:rFonts w:ascii="Century Gothic" w:hAnsi="Century Gothic"/>
          <w:color w:val="212121"/>
          <w:sz w:val="18"/>
          <w:szCs w:val="18"/>
          <w:lang w:val="fr-FR"/>
        </w:rPr>
        <w:t>employeur</w:t>
      </w: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entame un </w:t>
      </w:r>
      <w:r w:rsidR="003A0CCE" w:rsidRPr="003543DF">
        <w:rPr>
          <w:rFonts w:ascii="Century Gothic" w:hAnsi="Century Gothic"/>
          <w:color w:val="212121"/>
          <w:sz w:val="18"/>
          <w:szCs w:val="18"/>
          <w:lang w:val="fr-FR"/>
        </w:rPr>
        <w:t>trajet de réintégration</w:t>
      </w: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>ne soit pas informé de ses droits et obligations</w:t>
      </w: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>. O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u que le </w:t>
      </w:r>
      <w:r w:rsidR="0042597B" w:rsidRPr="003543DF">
        <w:rPr>
          <w:rFonts w:ascii="Century Gothic" w:hAnsi="Century Gothic"/>
          <w:color w:val="212121"/>
          <w:sz w:val="18"/>
          <w:szCs w:val="18"/>
          <w:lang w:val="fr-FR"/>
        </w:rPr>
        <w:t>travailleur</w:t>
      </w: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</w:t>
      </w:r>
      <w:r w:rsidR="00C9054B" w:rsidRPr="00C9054B">
        <w:rPr>
          <w:rFonts w:ascii="Century Gothic" w:hAnsi="Century Gothic"/>
          <w:color w:val="212121"/>
          <w:sz w:val="18"/>
          <w:szCs w:val="18"/>
          <w:lang w:val="fr-FR"/>
        </w:rPr>
        <w:t xml:space="preserve">ne soit pas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>lui-même au courant de la demande de l’</w:t>
      </w:r>
      <w:r w:rsidR="0042597B" w:rsidRPr="003543DF">
        <w:rPr>
          <w:rFonts w:ascii="Century Gothic" w:hAnsi="Century Gothic"/>
          <w:color w:val="212121"/>
          <w:sz w:val="18"/>
          <w:szCs w:val="18"/>
          <w:lang w:val="fr-FR"/>
        </w:rPr>
        <w:t>employeur</w:t>
      </w: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.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>Il serait préférable que l’</w:t>
      </w:r>
      <w:r w:rsidR="0042597B" w:rsidRPr="003543DF">
        <w:rPr>
          <w:rFonts w:ascii="Century Gothic" w:hAnsi="Century Gothic"/>
          <w:color w:val="212121"/>
          <w:sz w:val="18"/>
          <w:szCs w:val="18"/>
          <w:lang w:val="fr-FR"/>
        </w:rPr>
        <w:t>employeur</w:t>
      </w:r>
      <w:r w:rsidR="00C7012B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qui demande le démarrage d’un </w:t>
      </w:r>
      <w:r w:rsidR="003A0CCE" w:rsidRPr="003543DF">
        <w:rPr>
          <w:rFonts w:ascii="Century Gothic" w:hAnsi="Century Gothic"/>
          <w:color w:val="212121"/>
          <w:sz w:val="18"/>
          <w:szCs w:val="18"/>
          <w:lang w:val="fr-FR"/>
        </w:rPr>
        <w:t>trajet de réintégration</w:t>
      </w:r>
      <w:r w:rsidR="00C7012B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en informe en même temps le </w:t>
      </w:r>
      <w:r w:rsidR="0042597B" w:rsidRPr="003543DF">
        <w:rPr>
          <w:rFonts w:ascii="Century Gothic" w:hAnsi="Century Gothic"/>
          <w:color w:val="212121"/>
          <w:sz w:val="18"/>
          <w:szCs w:val="18"/>
          <w:lang w:val="fr-FR"/>
        </w:rPr>
        <w:t>travailleur</w:t>
      </w:r>
      <w:r w:rsidR="00C7012B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.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Nous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lastRenderedPageBreak/>
        <w:t xml:space="preserve">constatons une proportion élevée de </w:t>
      </w:r>
      <w:r w:rsidR="003543DF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désistements lors de ces examens de </w:t>
      </w:r>
      <w:r w:rsidR="0042597B" w:rsidRPr="003543DF">
        <w:rPr>
          <w:rFonts w:ascii="Century Gothic" w:hAnsi="Century Gothic"/>
          <w:color w:val="212121"/>
          <w:sz w:val="18"/>
          <w:szCs w:val="18"/>
          <w:lang w:val="fr-FR"/>
        </w:rPr>
        <w:t>réintégration</w:t>
      </w:r>
      <w:r w:rsidR="00C7012B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.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>Ce qui repr</w:t>
      </w:r>
      <w:r w:rsidR="003543DF" w:rsidRPr="003543DF">
        <w:rPr>
          <w:rFonts w:ascii="Century Gothic" w:hAnsi="Century Gothic"/>
          <w:color w:val="212121"/>
          <w:sz w:val="18"/>
          <w:szCs w:val="18"/>
          <w:lang w:val="fr-FR"/>
        </w:rPr>
        <w:t>é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sente une perte importante </w:t>
      </w:r>
      <w:r w:rsidR="003543DF" w:rsidRPr="003543DF">
        <w:rPr>
          <w:rFonts w:ascii="Century Gothic" w:hAnsi="Century Gothic"/>
          <w:color w:val="212121"/>
          <w:sz w:val="18"/>
          <w:szCs w:val="18"/>
          <w:lang w:val="fr-FR"/>
        </w:rPr>
        <w:t>d’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heures disponibles </w:t>
      </w:r>
      <w:r w:rsidR="003543DF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dans le chef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du médecin du travail, </w:t>
      </w:r>
      <w:r w:rsidR="003543DF"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heures </w:t>
      </w:r>
      <w:r w:rsidR="007A7EF6" w:rsidRPr="003543DF">
        <w:rPr>
          <w:rFonts w:ascii="Century Gothic" w:hAnsi="Century Gothic"/>
          <w:color w:val="212121"/>
          <w:sz w:val="18"/>
          <w:szCs w:val="18"/>
          <w:lang w:val="fr-FR"/>
        </w:rPr>
        <w:t>qui ne peuvent être utilisées pour d’autres missions légales importantes</w:t>
      </w:r>
      <w:r w:rsidR="00C7012B" w:rsidRPr="003543DF">
        <w:rPr>
          <w:rFonts w:ascii="Century Gothic" w:hAnsi="Century Gothic"/>
          <w:color w:val="212121"/>
          <w:sz w:val="18"/>
          <w:szCs w:val="18"/>
          <w:lang w:val="fr-FR"/>
        </w:rPr>
        <w:t>.</w:t>
      </w:r>
      <w:r w:rsidRPr="003543DF">
        <w:rPr>
          <w:rFonts w:ascii="Century Gothic" w:hAnsi="Century Gothic"/>
          <w:color w:val="212121"/>
          <w:sz w:val="18"/>
          <w:szCs w:val="18"/>
          <w:lang w:val="fr-FR"/>
        </w:rPr>
        <w:t xml:space="preserve"> </w:t>
      </w:r>
    </w:p>
    <w:p w:rsidR="007406C2" w:rsidRPr="003543DF" w:rsidRDefault="007406C2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</w:p>
    <w:p w:rsidR="00A8044C" w:rsidRPr="003543DF" w:rsidRDefault="00A8044C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</w:p>
    <w:p w:rsidR="00A8044C" w:rsidRPr="003543DF" w:rsidRDefault="00A8044C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</w:p>
    <w:p w:rsidR="00093365" w:rsidRPr="003543DF" w:rsidRDefault="00093365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</w:p>
    <w:p w:rsidR="00093365" w:rsidRPr="003543DF" w:rsidRDefault="00093365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</w:p>
    <w:p w:rsidR="00093365" w:rsidRPr="003543DF" w:rsidRDefault="00093365" w:rsidP="00E775EC">
      <w:pPr>
        <w:pStyle w:val="NormalWeb"/>
        <w:ind w:left="705" w:hanging="345"/>
        <w:jc w:val="both"/>
        <w:rPr>
          <w:rFonts w:ascii="Century Gothic" w:hAnsi="Century Gothic"/>
          <w:color w:val="212121"/>
          <w:sz w:val="18"/>
          <w:szCs w:val="18"/>
          <w:lang w:val="fr-FR"/>
        </w:rPr>
      </w:pPr>
    </w:p>
    <w:p w:rsidR="00032890" w:rsidRPr="003543DF" w:rsidRDefault="00032890" w:rsidP="00032890">
      <w:pPr>
        <w:rPr>
          <w:rFonts w:ascii="Century Gothic" w:hAnsi="Century Gothic"/>
          <w:sz w:val="18"/>
          <w:szCs w:val="18"/>
          <w:lang w:val="fr-FR"/>
        </w:rPr>
      </w:pPr>
      <w:r w:rsidRPr="003543DF">
        <w:rPr>
          <w:rFonts w:ascii="Century Gothic" w:hAnsi="Century Gothic"/>
          <w:sz w:val="18"/>
          <w:szCs w:val="18"/>
          <w:lang w:val="fr-FR"/>
        </w:rPr>
        <w:t>Dr Philippe Farr e</w:t>
      </w:r>
      <w:r w:rsidR="0042597B" w:rsidRPr="003543DF">
        <w:rPr>
          <w:rFonts w:ascii="Century Gothic" w:hAnsi="Century Gothic"/>
          <w:sz w:val="18"/>
          <w:szCs w:val="18"/>
          <w:lang w:val="fr-FR"/>
        </w:rPr>
        <w:t>t</w:t>
      </w:r>
      <w:r w:rsidRPr="003543DF">
        <w:rPr>
          <w:rFonts w:ascii="Century Gothic" w:hAnsi="Century Gothic"/>
          <w:sz w:val="18"/>
          <w:szCs w:val="18"/>
          <w:lang w:val="fr-FR"/>
        </w:rPr>
        <w:t xml:space="preserve"> Dr Guy Vogt </w:t>
      </w:r>
    </w:p>
    <w:p w:rsidR="00032890" w:rsidRPr="003543DF" w:rsidRDefault="0042597B" w:rsidP="00032890">
      <w:pPr>
        <w:rPr>
          <w:rFonts w:ascii="Century Gothic" w:hAnsi="Century Gothic"/>
          <w:sz w:val="18"/>
          <w:szCs w:val="18"/>
          <w:lang w:val="fr-FR"/>
        </w:rPr>
      </w:pPr>
      <w:r w:rsidRPr="003543DF">
        <w:rPr>
          <w:rFonts w:ascii="Century Gothic" w:hAnsi="Century Gothic"/>
          <w:sz w:val="18"/>
          <w:szCs w:val="18"/>
          <w:lang w:val="fr-FR"/>
        </w:rPr>
        <w:t>Représentants de l</w:t>
      </w:r>
      <w:r w:rsidR="003543DF">
        <w:rPr>
          <w:rFonts w:ascii="Century Gothic" w:hAnsi="Century Gothic"/>
          <w:sz w:val="18"/>
          <w:szCs w:val="18"/>
          <w:lang w:val="fr-FR"/>
        </w:rPr>
        <w:t>’</w:t>
      </w:r>
      <w:r w:rsidR="00032890" w:rsidRPr="003543DF">
        <w:rPr>
          <w:rFonts w:ascii="Century Gothic" w:hAnsi="Century Gothic"/>
          <w:sz w:val="18"/>
          <w:szCs w:val="18"/>
          <w:lang w:val="fr-FR"/>
        </w:rPr>
        <w:t>APBMT</w:t>
      </w:r>
      <w:r w:rsidR="003543DF">
        <w:rPr>
          <w:rFonts w:ascii="Century Gothic" w:hAnsi="Century Gothic"/>
          <w:sz w:val="18"/>
          <w:szCs w:val="18"/>
          <w:lang w:val="fr-FR"/>
        </w:rPr>
        <w:t>-</w:t>
      </w:r>
      <w:r w:rsidR="003543DF" w:rsidRPr="003543DF">
        <w:rPr>
          <w:rFonts w:ascii="Century Gothic" w:hAnsi="Century Gothic"/>
          <w:sz w:val="18"/>
          <w:szCs w:val="18"/>
          <w:lang w:val="fr-FR"/>
        </w:rPr>
        <w:t>BBvAg</w:t>
      </w:r>
      <w:r w:rsidR="00032890" w:rsidRPr="003543DF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3543DF">
        <w:rPr>
          <w:rFonts w:ascii="Century Gothic" w:hAnsi="Century Gothic"/>
          <w:sz w:val="18"/>
          <w:szCs w:val="18"/>
          <w:lang w:val="fr-FR"/>
        </w:rPr>
        <w:t>auprès du Conseil supérieur</w:t>
      </w:r>
    </w:p>
    <w:p w:rsidR="00032890" w:rsidRPr="003543DF" w:rsidRDefault="00032890" w:rsidP="00032890">
      <w:pPr>
        <w:pStyle w:val="Paragraphedeliste"/>
        <w:ind w:hanging="360"/>
        <w:rPr>
          <w:color w:val="212121"/>
          <w:lang w:val="fr-FR"/>
        </w:rPr>
      </w:pPr>
    </w:p>
    <w:p w:rsidR="002D68FC" w:rsidRPr="003543DF" w:rsidRDefault="004610E4">
      <w:pPr>
        <w:rPr>
          <w:lang w:val="fr-FR"/>
        </w:rPr>
      </w:pPr>
    </w:p>
    <w:sectPr w:rsidR="002D68FC" w:rsidRPr="0035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E4" w:rsidRDefault="004610E4" w:rsidP="00C9054B">
      <w:r>
        <w:separator/>
      </w:r>
    </w:p>
  </w:endnote>
  <w:endnote w:type="continuationSeparator" w:id="0">
    <w:p w:rsidR="004610E4" w:rsidRDefault="004610E4" w:rsidP="00C9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E4" w:rsidRDefault="004610E4" w:rsidP="00C9054B">
      <w:r>
        <w:separator/>
      </w:r>
    </w:p>
  </w:footnote>
  <w:footnote w:type="continuationSeparator" w:id="0">
    <w:p w:rsidR="004610E4" w:rsidRDefault="004610E4" w:rsidP="00C90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890"/>
    <w:rsid w:val="00007CE0"/>
    <w:rsid w:val="00032890"/>
    <w:rsid w:val="00093365"/>
    <w:rsid w:val="00110A56"/>
    <w:rsid w:val="002D43DC"/>
    <w:rsid w:val="00315C45"/>
    <w:rsid w:val="003543DF"/>
    <w:rsid w:val="003A0CCE"/>
    <w:rsid w:val="0042597B"/>
    <w:rsid w:val="0044212E"/>
    <w:rsid w:val="004610E4"/>
    <w:rsid w:val="00467550"/>
    <w:rsid w:val="0048479A"/>
    <w:rsid w:val="00493EE6"/>
    <w:rsid w:val="004B0158"/>
    <w:rsid w:val="004B44AD"/>
    <w:rsid w:val="005F2993"/>
    <w:rsid w:val="006577C6"/>
    <w:rsid w:val="00720ED3"/>
    <w:rsid w:val="007406C2"/>
    <w:rsid w:val="007A7EF6"/>
    <w:rsid w:val="00A8044C"/>
    <w:rsid w:val="00AF00AD"/>
    <w:rsid w:val="00AF09BA"/>
    <w:rsid w:val="00B3515A"/>
    <w:rsid w:val="00B91AB5"/>
    <w:rsid w:val="00C7012B"/>
    <w:rsid w:val="00C9054B"/>
    <w:rsid w:val="00CA3DC7"/>
    <w:rsid w:val="00D17FE4"/>
    <w:rsid w:val="00D51902"/>
    <w:rsid w:val="00DE34E7"/>
    <w:rsid w:val="00E775EC"/>
    <w:rsid w:val="00F854BD"/>
    <w:rsid w:val="00FC004C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1B2B"/>
  <w15:docId w15:val="{91FCEBD0-8CAC-4D48-97F0-AF3AF447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890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2890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032890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3DC"/>
    <w:rPr>
      <w:rFonts w:ascii="Segoe UI" w:hAnsi="Segoe UI" w:cs="Segoe UI"/>
      <w:sz w:val="18"/>
      <w:szCs w:val="18"/>
      <w:lang w:eastAsia="nl-BE"/>
    </w:rPr>
  </w:style>
  <w:style w:type="paragraph" w:styleId="En-tte">
    <w:name w:val="header"/>
    <w:basedOn w:val="Normal"/>
    <w:link w:val="En-tteCar"/>
    <w:uiPriority w:val="99"/>
    <w:unhideWhenUsed/>
    <w:rsid w:val="00C905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054B"/>
    <w:rPr>
      <w:rFonts w:ascii="Calibri" w:hAnsi="Calibri" w:cs="Times New Roman"/>
      <w:lang w:eastAsia="nl-BE"/>
    </w:rPr>
  </w:style>
  <w:style w:type="paragraph" w:styleId="Pieddepage">
    <w:name w:val="footer"/>
    <w:basedOn w:val="Normal"/>
    <w:link w:val="PieddepageCar"/>
    <w:uiPriority w:val="99"/>
    <w:unhideWhenUsed/>
    <w:rsid w:val="00C905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054B"/>
    <w:rPr>
      <w:rFonts w:ascii="Calibri" w:hAnsi="Calibri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6B95-794A-4295-8A3F-31008BFA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733</Words>
  <Characters>4174</Characters>
  <Application>Microsoft Office Word</Application>
  <DocSecurity>0</DocSecurity>
  <Lines>75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Kamodata CVBA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 Guy</dc:creator>
  <cp:lastModifiedBy>Francoise Orban</cp:lastModifiedBy>
  <cp:revision>7</cp:revision>
  <cp:lastPrinted>2018-03-01T11:18:00Z</cp:lastPrinted>
  <dcterms:created xsi:type="dcterms:W3CDTF">2018-02-27T12:20:00Z</dcterms:created>
  <dcterms:modified xsi:type="dcterms:W3CDTF">2018-03-02T07:57:00Z</dcterms:modified>
</cp:coreProperties>
</file>